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00" w:rsidRDefault="00924D00" w:rsidP="00924D00">
      <w:pPr>
        <w:jc w:val="center"/>
        <w:rPr>
          <w:rFonts w:ascii="Arial" w:hAnsi="Arial" w:cs="Arial"/>
          <w:b/>
          <w:sz w:val="28"/>
          <w:szCs w:val="28"/>
        </w:rPr>
      </w:pPr>
      <w:r>
        <w:rPr>
          <w:rFonts w:ascii="Arial" w:hAnsi="Arial" w:cs="Arial"/>
          <w:b/>
          <w:sz w:val="28"/>
          <w:szCs w:val="28"/>
        </w:rPr>
        <w:t>INFORMATIVO DE RELATORÍA</w:t>
      </w:r>
    </w:p>
    <w:p w:rsidR="00924D00" w:rsidRDefault="00F34366" w:rsidP="00924D00">
      <w:pPr>
        <w:jc w:val="center"/>
        <w:rPr>
          <w:rFonts w:ascii="Arial" w:hAnsi="Arial" w:cs="Arial"/>
          <w:b/>
          <w:sz w:val="28"/>
          <w:szCs w:val="28"/>
        </w:rPr>
      </w:pPr>
      <w:r>
        <w:rPr>
          <w:rFonts w:ascii="Arial" w:hAnsi="Arial" w:cs="Arial"/>
          <w:b/>
          <w:sz w:val="28"/>
          <w:szCs w:val="28"/>
        </w:rPr>
        <w:t>JUNIO</w:t>
      </w:r>
      <w:r w:rsidR="00924D00">
        <w:rPr>
          <w:rFonts w:ascii="Arial" w:hAnsi="Arial" w:cs="Arial"/>
          <w:b/>
          <w:sz w:val="28"/>
          <w:szCs w:val="28"/>
        </w:rPr>
        <w:t xml:space="preserve"> DE 2022</w:t>
      </w:r>
    </w:p>
    <w:tbl>
      <w:tblPr>
        <w:tblStyle w:val="Tabladecuadrcula4-nfasis51"/>
        <w:tblW w:w="0" w:type="auto"/>
        <w:tblLook w:val="04A0" w:firstRow="1" w:lastRow="0" w:firstColumn="1" w:lastColumn="0" w:noHBand="0" w:noVBand="1"/>
      </w:tblPr>
      <w:tblGrid>
        <w:gridCol w:w="8828"/>
      </w:tblGrid>
      <w:tr w:rsidR="00924D00" w:rsidTr="00327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hideMark/>
          </w:tcPr>
          <w:p w:rsidR="00924D00" w:rsidRPr="001112DC" w:rsidRDefault="00924D00" w:rsidP="00327DB5">
            <w:pPr>
              <w:jc w:val="center"/>
              <w:rPr>
                <w:rFonts w:ascii="Arial" w:hAnsi="Arial" w:cs="Arial"/>
                <w:bCs w:val="0"/>
                <w:sz w:val="28"/>
                <w:szCs w:val="28"/>
              </w:rPr>
            </w:pPr>
            <w:r w:rsidRPr="001112DC">
              <w:rPr>
                <w:rFonts w:ascii="Arial" w:hAnsi="Arial" w:cs="Arial"/>
                <w:bCs w:val="0"/>
                <w:color w:val="auto"/>
                <w:sz w:val="28"/>
                <w:szCs w:val="28"/>
              </w:rPr>
              <w:t>TRIBUNAL ADMINISTRATIVO DEL HUILA</w:t>
            </w:r>
          </w:p>
        </w:tc>
      </w:tr>
      <w:tr w:rsidR="00924D00" w:rsidTr="0032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24D00" w:rsidRPr="001112DC" w:rsidRDefault="00F34366" w:rsidP="00327DB5">
            <w:pPr>
              <w:jc w:val="center"/>
              <w:rPr>
                <w:rFonts w:ascii="Arial" w:hAnsi="Arial" w:cs="Arial"/>
                <w:bCs w:val="0"/>
                <w:sz w:val="28"/>
                <w:szCs w:val="28"/>
              </w:rPr>
            </w:pPr>
            <w:r>
              <w:rPr>
                <w:rFonts w:ascii="Arial" w:hAnsi="Arial" w:cs="Arial"/>
                <w:bCs w:val="0"/>
                <w:sz w:val="28"/>
                <w:szCs w:val="28"/>
              </w:rPr>
              <w:t>JUNIO</w:t>
            </w:r>
            <w:r w:rsidR="00924D00" w:rsidRPr="001112DC">
              <w:rPr>
                <w:rFonts w:ascii="Arial" w:hAnsi="Arial" w:cs="Arial"/>
                <w:bCs w:val="0"/>
                <w:sz w:val="28"/>
                <w:szCs w:val="28"/>
              </w:rPr>
              <w:t xml:space="preserve"> 202</w:t>
            </w:r>
            <w:r w:rsidR="00924D00">
              <w:rPr>
                <w:rFonts w:ascii="Arial" w:hAnsi="Arial" w:cs="Arial"/>
                <w:bCs w:val="0"/>
                <w:sz w:val="28"/>
                <w:szCs w:val="28"/>
              </w:rPr>
              <w:t>2</w:t>
            </w:r>
          </w:p>
        </w:tc>
      </w:tr>
    </w:tbl>
    <w:p w:rsidR="00924D00" w:rsidRDefault="00924D00" w:rsidP="00924D00">
      <w:pPr>
        <w:rPr>
          <w:rFonts w:ascii="Arial" w:hAnsi="Arial" w:cs="Arial"/>
          <w:b/>
        </w:rPr>
      </w:pPr>
    </w:p>
    <w:tbl>
      <w:tblPr>
        <w:tblStyle w:val="Tabladecuadrcula4-nfasis51"/>
        <w:tblW w:w="0" w:type="auto"/>
        <w:tblLayout w:type="fixed"/>
        <w:tblLook w:val="04A0" w:firstRow="1" w:lastRow="0" w:firstColumn="1" w:lastColumn="0" w:noHBand="0" w:noVBand="1"/>
      </w:tblPr>
      <w:tblGrid>
        <w:gridCol w:w="2263"/>
        <w:gridCol w:w="2835"/>
        <w:gridCol w:w="2410"/>
        <w:gridCol w:w="1320"/>
      </w:tblGrid>
      <w:tr w:rsidR="00924D00" w:rsidTr="00327DB5">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hideMark/>
          </w:tcPr>
          <w:p w:rsidR="00924D00" w:rsidRDefault="00924D00" w:rsidP="00327DB5">
            <w:pPr>
              <w:jc w:val="center"/>
              <w:rPr>
                <w:rFonts w:ascii="Arial" w:hAnsi="Arial" w:cs="Arial"/>
                <w:color w:val="auto"/>
              </w:rPr>
            </w:pPr>
            <w:r>
              <w:rPr>
                <w:rFonts w:ascii="Arial" w:hAnsi="Arial" w:cs="Arial"/>
                <w:color w:val="auto"/>
              </w:rPr>
              <w:t>FUENTE</w:t>
            </w:r>
          </w:p>
        </w:tc>
        <w:tc>
          <w:tcPr>
            <w:tcW w:w="2835" w:type="dxa"/>
            <w:tcBorders>
              <w:top w:val="single" w:sz="4" w:space="0" w:color="auto"/>
              <w:left w:val="single" w:sz="4" w:space="0" w:color="auto"/>
              <w:bottom w:val="single" w:sz="4" w:space="0" w:color="auto"/>
              <w:right w:val="single" w:sz="4" w:space="0" w:color="auto"/>
            </w:tcBorders>
            <w:hideMark/>
          </w:tcPr>
          <w:p w:rsidR="00924D00" w:rsidRDefault="00924D00" w:rsidP="00327D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TEMA</w:t>
            </w:r>
          </w:p>
        </w:tc>
        <w:tc>
          <w:tcPr>
            <w:tcW w:w="2410" w:type="dxa"/>
            <w:tcBorders>
              <w:top w:val="single" w:sz="4" w:space="0" w:color="auto"/>
              <w:left w:val="single" w:sz="4" w:space="0" w:color="auto"/>
              <w:bottom w:val="single" w:sz="4" w:space="0" w:color="auto"/>
              <w:right w:val="single" w:sz="4" w:space="0" w:color="auto"/>
            </w:tcBorders>
            <w:hideMark/>
          </w:tcPr>
          <w:p w:rsidR="00924D00" w:rsidRDefault="00924D00" w:rsidP="00327D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NORMA/</w:t>
            </w:r>
          </w:p>
          <w:p w:rsidR="00924D00" w:rsidRDefault="00924D00" w:rsidP="00327D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PROVIDENCIA</w:t>
            </w:r>
          </w:p>
        </w:tc>
        <w:tc>
          <w:tcPr>
            <w:tcW w:w="1320" w:type="dxa"/>
            <w:tcBorders>
              <w:top w:val="single" w:sz="4" w:space="0" w:color="auto"/>
              <w:left w:val="single" w:sz="4" w:space="0" w:color="auto"/>
              <w:bottom w:val="single" w:sz="4" w:space="0" w:color="auto"/>
              <w:right w:val="single" w:sz="4" w:space="0" w:color="auto"/>
            </w:tcBorders>
            <w:hideMark/>
          </w:tcPr>
          <w:p w:rsidR="00924D00" w:rsidRDefault="00924D00" w:rsidP="00327D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FECHA</w:t>
            </w:r>
          </w:p>
        </w:tc>
      </w:tr>
    </w:tbl>
    <w:p w:rsidR="00924D00" w:rsidRDefault="00924D00" w:rsidP="00924D00"/>
    <w:tbl>
      <w:tblPr>
        <w:tblStyle w:val="Tabladecuadrcula4-nfasis51"/>
        <w:tblW w:w="8828" w:type="dxa"/>
        <w:tblLayout w:type="fixed"/>
        <w:tblLook w:val="04A0" w:firstRow="1" w:lastRow="0" w:firstColumn="1" w:lastColumn="0" w:noHBand="0" w:noVBand="1"/>
      </w:tblPr>
      <w:tblGrid>
        <w:gridCol w:w="2263"/>
        <w:gridCol w:w="2835"/>
        <w:gridCol w:w="2410"/>
        <w:gridCol w:w="1320"/>
      </w:tblGrid>
      <w:tr w:rsidR="00924D00" w:rsidTr="00327DB5">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924D00" w:rsidRDefault="00924D00" w:rsidP="00327DB5">
            <w:pPr>
              <w:jc w:val="center"/>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single" w:sz="4" w:space="0" w:color="auto"/>
            </w:tcBorders>
          </w:tcPr>
          <w:p w:rsidR="00924D00" w:rsidRDefault="00924D00" w:rsidP="00327DB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0" w:type="dxa"/>
            <w:tcBorders>
              <w:top w:val="single" w:sz="4" w:space="0" w:color="auto"/>
            </w:tcBorders>
          </w:tcPr>
          <w:p w:rsidR="00924D00" w:rsidRDefault="00924D00" w:rsidP="00327D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20" w:type="dxa"/>
            <w:tcBorders>
              <w:top w:val="single" w:sz="4" w:space="0" w:color="auto"/>
            </w:tcBorders>
          </w:tcPr>
          <w:p w:rsidR="00924D00" w:rsidRDefault="00924D00" w:rsidP="00327D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924D00" w:rsidTr="001001DB">
        <w:trPr>
          <w:cnfStyle w:val="000000100000" w:firstRow="0" w:lastRow="0" w:firstColumn="0" w:lastColumn="0" w:oddVBand="0" w:evenVBand="0" w:oddHBand="1" w:evenHBand="0" w:firstRowFirstColumn="0" w:firstRowLastColumn="0" w:lastRowFirstColumn="0" w:lastRowLastColumn="0"/>
          <w:trHeight w:val="324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924D00" w:rsidRDefault="00924D00" w:rsidP="00327DB5">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de Estado</w:t>
            </w:r>
          </w:p>
          <w:p w:rsidR="00924D00" w:rsidRDefault="00924D00" w:rsidP="00327DB5">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Sección Quinta</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924D00" w:rsidRPr="00120CC9" w:rsidRDefault="00924D00" w:rsidP="00327DB5">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20CC9">
              <w:rPr>
                <w:rStyle w:val="Textoennegrita"/>
                <w:rFonts w:ascii="Tahoma" w:hAnsi="Tahoma" w:cs="Tahoma"/>
                <w:color w:val="000000"/>
                <w:sz w:val="20"/>
                <w:szCs w:val="20"/>
              </w:rPr>
              <w:t>Mediante sentencia SU 067 de 2022, apremia al Consejo Superior de la Judicatura y a la Universidad Nacional para que fijen con mayor prontitud el nuevo cronograma de actividades del concurso de jueces y magistrados (Convocatoria No.27)</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924D00" w:rsidRDefault="00924D00" w:rsidP="00327D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924D00" w:rsidRPr="002B3D3E" w:rsidRDefault="00924D00" w:rsidP="00327D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2022-00033-00</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924D00" w:rsidRPr="002B3D3E" w:rsidRDefault="00924D00" w:rsidP="00327D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03-03-2022</w:t>
            </w:r>
          </w:p>
        </w:tc>
      </w:tr>
      <w:tr w:rsidR="00D70DFE" w:rsidTr="00D70DFE">
        <w:trPr>
          <w:trHeight w:val="238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BF2A32" w:rsidRDefault="00D70DFE" w:rsidP="00D70DFE">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Consejo de Estado </w:t>
            </w:r>
          </w:p>
          <w:p w:rsidR="00D70DFE" w:rsidRDefault="00D70DFE" w:rsidP="00D70DFE">
            <w:pPr>
              <w:jc w:val="center"/>
              <w:rPr>
                <w:rFonts w:ascii="Arial" w:hAnsi="Arial" w:cs="Arial"/>
                <w:b w:val="0"/>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Sección Tercera</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000000" w:firstRow="0" w:lastRow="0" w:firstColumn="0" w:lastColumn="0" w:oddVBand="0" w:evenVBand="0" w:oddHBand="0" w:evenHBand="0" w:firstRowFirstColumn="0" w:firstRowLastColumn="0" w:lastRowFirstColumn="0" w:lastRowLastColumn="0"/>
              <w:rPr>
                <w:rStyle w:val="Textoennegrita"/>
                <w:rFonts w:ascii="Tahoma" w:hAnsi="Tahoma" w:cs="Tahoma"/>
                <w:color w:val="000000"/>
                <w:sz w:val="20"/>
                <w:szCs w:val="20"/>
              </w:rPr>
            </w:pPr>
            <w:r w:rsidRPr="00120CC9">
              <w:rPr>
                <w:rStyle w:val="Textoennegrita"/>
                <w:rFonts w:ascii="Tahoma" w:hAnsi="Tahoma" w:cs="Tahoma"/>
                <w:color w:val="000000"/>
                <w:sz w:val="20"/>
                <w:szCs w:val="20"/>
              </w:rPr>
              <w:t>Tema acción de tutela en contra de providencia judicial. subtema 1 requisitos especiales de procedencia defecto por ausencia de motivación. sentido del fallo de tutela se concede el amparo</w:t>
            </w:r>
            <w:r>
              <w:rPr>
                <w:rStyle w:val="Textoennegrita"/>
                <w:rFonts w:ascii="Tahoma" w:hAnsi="Tahoma" w:cs="Tahoma"/>
                <w:color w:val="000000"/>
                <w:sz w:val="20"/>
                <w:szCs w:val="20"/>
              </w:rPr>
              <w:t>-</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2022-01921</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10-06-2022</w:t>
            </w:r>
          </w:p>
        </w:tc>
      </w:tr>
      <w:tr w:rsidR="00F61A9F" w:rsidTr="00D70DFE">
        <w:trPr>
          <w:cnfStyle w:val="000000100000" w:firstRow="0" w:lastRow="0" w:firstColumn="0" w:lastColumn="0" w:oddVBand="0" w:evenVBand="0" w:oddHBand="1" w:evenHBand="0" w:firstRowFirstColumn="0" w:firstRowLastColumn="0" w:lastRowFirstColumn="0" w:lastRowLastColumn="0"/>
          <w:trHeight w:val="238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F61A9F" w:rsidRPr="00BF2A32" w:rsidRDefault="00F61A9F" w:rsidP="00F61A9F">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Consejo de Estado </w:t>
            </w:r>
          </w:p>
          <w:p w:rsidR="00F61A9F" w:rsidRDefault="00F61A9F" w:rsidP="00F61A9F">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Sección Tercera</w:t>
            </w:r>
          </w:p>
          <w:p w:rsidR="00F61A9F" w:rsidRPr="00BF2A32" w:rsidRDefault="00F61A9F" w:rsidP="00F61A9F">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Subsección B</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F61A9F" w:rsidRPr="00120CC9" w:rsidRDefault="00F61A9F" w:rsidP="00D70DFE">
            <w:pPr>
              <w:jc w:val="both"/>
              <w:cnfStyle w:val="000000100000" w:firstRow="0" w:lastRow="0" w:firstColumn="0" w:lastColumn="0" w:oddVBand="0" w:evenVBand="0" w:oddHBand="1" w:evenHBand="0" w:firstRowFirstColumn="0" w:firstRowLastColumn="0" w:lastRowFirstColumn="0" w:lastRowLastColumn="0"/>
              <w:rPr>
                <w:rStyle w:val="Textoennegrita"/>
                <w:rFonts w:ascii="Tahoma" w:hAnsi="Tahoma" w:cs="Tahoma"/>
                <w:color w:val="000000"/>
                <w:sz w:val="20"/>
                <w:szCs w:val="20"/>
              </w:rPr>
            </w:pPr>
            <w:r w:rsidRPr="00F61A9F">
              <w:rPr>
                <w:rStyle w:val="Textoennegrita"/>
                <w:rFonts w:ascii="Tahoma" w:hAnsi="Tahoma" w:cs="Tahoma"/>
                <w:color w:val="000000"/>
                <w:sz w:val="20"/>
                <w:szCs w:val="20"/>
              </w:rPr>
              <w:t>La acción de grupo no es procedente para estudiar la validez de un acto administrativo, así este haya sido la causa efectiva del daño.</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F61A9F" w:rsidRDefault="00F61A9F"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RADICACIÓN </w:t>
            </w:r>
          </w:p>
          <w:p w:rsidR="00F61A9F" w:rsidRDefault="00F61A9F"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2013- 00533-01</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F61A9F" w:rsidRDefault="00F61A9F"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10-06.2013</w:t>
            </w:r>
            <w:bookmarkStart w:id="0" w:name="_GoBack"/>
            <w:bookmarkEnd w:id="0"/>
          </w:p>
        </w:tc>
      </w:tr>
      <w:tr w:rsidR="00426D82" w:rsidTr="00D70DFE">
        <w:trPr>
          <w:trHeight w:val="238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426D82" w:rsidRPr="00BF2A32" w:rsidRDefault="00426D82" w:rsidP="00426D82">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Consejo de Estado </w:t>
            </w:r>
          </w:p>
          <w:p w:rsidR="00426D82" w:rsidRPr="00BF2A32" w:rsidRDefault="00426D82" w:rsidP="00426D82">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Sección Primera</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426D82" w:rsidRPr="00120CC9" w:rsidRDefault="00426D82" w:rsidP="00D70DFE">
            <w:pPr>
              <w:jc w:val="both"/>
              <w:cnfStyle w:val="000000000000" w:firstRow="0" w:lastRow="0" w:firstColumn="0" w:lastColumn="0" w:oddVBand="0" w:evenVBand="0" w:oddHBand="0" w:evenHBand="0" w:firstRowFirstColumn="0" w:firstRowLastColumn="0" w:lastRowFirstColumn="0" w:lastRowLastColumn="0"/>
              <w:rPr>
                <w:rStyle w:val="Textoennegrita"/>
                <w:rFonts w:ascii="Tahoma" w:hAnsi="Tahoma" w:cs="Tahoma"/>
                <w:color w:val="000000"/>
                <w:sz w:val="20"/>
                <w:szCs w:val="20"/>
              </w:rPr>
            </w:pPr>
            <w:r w:rsidRPr="00426D82">
              <w:rPr>
                <w:rStyle w:val="Textoennegrita"/>
                <w:rFonts w:ascii="Tahoma" w:hAnsi="Tahoma" w:cs="Tahoma"/>
                <w:color w:val="000000"/>
                <w:sz w:val="20"/>
                <w:szCs w:val="20"/>
              </w:rPr>
              <w:t xml:space="preserve">El Consejo de Estado ordenó medidas para proteger el derecho </w:t>
            </w:r>
            <w:r w:rsidRPr="0084321A">
              <w:rPr>
                <w:rStyle w:val="Textoennegrita"/>
                <w:rFonts w:ascii="Tahoma" w:hAnsi="Tahoma" w:cs="Tahoma"/>
                <w:color w:val="000000"/>
                <w:sz w:val="20"/>
                <w:szCs w:val="20"/>
              </w:rPr>
              <w:t>colectivo a la prevención de desastres, frente</w:t>
            </w:r>
            <w:r w:rsidRPr="00426D82">
              <w:rPr>
                <w:rStyle w:val="Textoennegrita"/>
                <w:rFonts w:ascii="Tahoma" w:hAnsi="Tahoma" w:cs="Tahoma"/>
                <w:color w:val="000000"/>
                <w:sz w:val="20"/>
                <w:szCs w:val="20"/>
              </w:rPr>
              <w:t xml:space="preserve"> a los deslizamientos de tierra y la construcción inadecuada de inmuebles en el municipio de Copacabana, Antioquia.</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426D82" w:rsidRDefault="00426D82"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426D82" w:rsidRDefault="00426D82"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2012-0061402</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426D82" w:rsidRDefault="00426D82"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09-06-2022</w:t>
            </w:r>
          </w:p>
        </w:tc>
      </w:tr>
      <w:tr w:rsidR="0084321A" w:rsidTr="00D70DFE">
        <w:trPr>
          <w:cnfStyle w:val="000000100000" w:firstRow="0" w:lastRow="0" w:firstColumn="0" w:lastColumn="0" w:oddVBand="0" w:evenVBand="0" w:oddHBand="1" w:evenHBand="0" w:firstRowFirstColumn="0" w:firstRowLastColumn="0" w:lastRowFirstColumn="0" w:lastRowLastColumn="0"/>
          <w:trHeight w:val="238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84321A" w:rsidRPr="00BF2A32" w:rsidRDefault="0084321A" w:rsidP="0084321A">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Consejo de Estado </w:t>
            </w:r>
          </w:p>
          <w:p w:rsidR="0084321A" w:rsidRPr="00BF2A32" w:rsidRDefault="0084321A" w:rsidP="0084321A">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 21 Especial de Decisión</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84321A" w:rsidRPr="00426D82" w:rsidRDefault="0084321A" w:rsidP="00D70DFE">
            <w:pPr>
              <w:jc w:val="both"/>
              <w:cnfStyle w:val="000000100000" w:firstRow="0" w:lastRow="0" w:firstColumn="0" w:lastColumn="0" w:oddVBand="0" w:evenVBand="0" w:oddHBand="1" w:evenHBand="0" w:firstRowFirstColumn="0" w:firstRowLastColumn="0" w:lastRowFirstColumn="0" w:lastRowLastColumn="0"/>
              <w:rPr>
                <w:rStyle w:val="Textoennegrita"/>
                <w:rFonts w:ascii="Tahoma" w:hAnsi="Tahoma" w:cs="Tahoma"/>
                <w:color w:val="000000"/>
                <w:sz w:val="20"/>
                <w:szCs w:val="20"/>
              </w:rPr>
            </w:pPr>
            <w:r w:rsidRPr="0084321A">
              <w:rPr>
                <w:rStyle w:val="Textoennegrita"/>
                <w:rFonts w:ascii="Tahoma" w:hAnsi="Tahoma" w:cs="Tahoma"/>
                <w:color w:val="000000"/>
                <w:sz w:val="20"/>
                <w:szCs w:val="20"/>
              </w:rPr>
              <w:t xml:space="preserve">La condena en contra de una entidad que no fue parte ni integró con las demandadas algún litisconsorcio, ni actuó como sucesora procesal de alguna de ellas, vulnera los derechos de defensa y contradicción como constitutivos del </w:t>
            </w:r>
            <w:r w:rsidRPr="0084321A">
              <w:rPr>
                <w:rStyle w:val="Textoennegrita"/>
                <w:rFonts w:ascii="Tahoma" w:hAnsi="Tahoma" w:cs="Tahoma"/>
                <w:color w:val="000000"/>
                <w:sz w:val="20"/>
                <w:szCs w:val="20"/>
              </w:rPr>
              <w:lastRenderedPageBreak/>
              <w:t>debido proceso, lo que constituye un motivo que invalida el fallo de acuerdo con la causal quinta de revisión prevista en el artículo 250 del CPACA.</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84321A" w:rsidRDefault="0084321A"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RADICACIÓN</w:t>
            </w:r>
          </w:p>
          <w:p w:rsidR="0084321A" w:rsidRDefault="0084321A"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2014-04059-00</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84321A" w:rsidRDefault="0084321A"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17-06-2022</w:t>
            </w:r>
          </w:p>
        </w:tc>
      </w:tr>
      <w:tr w:rsidR="00D70DFE" w:rsidTr="00327D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Congreso de la República</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000000" w:firstRow="0" w:lastRow="0" w:firstColumn="0" w:lastColumn="0" w:oddVBand="0" w:evenVBand="0" w:oddHBand="0" w:evenHBand="0" w:firstRowFirstColumn="0" w:firstRowLastColumn="0" w:lastRowFirstColumn="0" w:lastRowLastColumn="0"/>
              <w:rPr>
                <w:rStyle w:val="Textoennegrita"/>
                <w:rFonts w:ascii="Tahoma" w:hAnsi="Tahoma" w:cs="Tahoma"/>
                <w:color w:val="000000"/>
                <w:sz w:val="20"/>
                <w:szCs w:val="20"/>
              </w:rPr>
            </w:pPr>
            <w:r w:rsidRPr="00120CC9">
              <w:rPr>
                <w:rStyle w:val="Textoennegrita"/>
                <w:rFonts w:ascii="Tahoma" w:hAnsi="Tahoma" w:cs="Tahoma"/>
                <w:color w:val="000000"/>
                <w:sz w:val="20"/>
                <w:szCs w:val="20"/>
              </w:rPr>
              <w:t>Por medio de la cual se establece la vigencia permanente del decreto legislativo 806 de 2020, y se adoptan medidas para implementar las tecnologías de la información y las comunicaciones en las actuaciones judiciales, agilizar los procesos judiciales y flexibilizar la atención a los usuarios del servicio de justicia y se dictan otras disposiciones</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2213</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13-06-2022</w:t>
            </w:r>
          </w:p>
        </w:tc>
      </w:tr>
      <w:tr w:rsidR="00D70DFE" w:rsidTr="0032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Congreso de la República</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100000" w:firstRow="0" w:lastRow="0" w:firstColumn="0" w:lastColumn="0" w:oddVBand="0" w:evenVBand="0" w:oddHBand="1" w:evenHBand="0" w:firstRowFirstColumn="0" w:firstRowLastColumn="0" w:lastRowFirstColumn="0" w:lastRowLastColumn="0"/>
              <w:rPr>
                <w:rStyle w:val="Textoennegrita"/>
                <w:rFonts w:ascii="Tahoma" w:hAnsi="Tahoma" w:cs="Tahoma"/>
                <w:color w:val="000000"/>
                <w:sz w:val="20"/>
                <w:szCs w:val="20"/>
              </w:rPr>
            </w:pPr>
            <w:r>
              <w:rPr>
                <w:rStyle w:val="Textoennegrita"/>
                <w:rFonts w:ascii="Tahoma" w:hAnsi="Tahoma" w:cs="Tahoma"/>
                <w:color w:val="000000"/>
                <w:sz w:val="20"/>
                <w:szCs w:val="20"/>
              </w:rPr>
              <w:t>P</w:t>
            </w:r>
            <w:r w:rsidRPr="001001DB">
              <w:rPr>
                <w:rStyle w:val="Textoennegrita"/>
                <w:rFonts w:ascii="Tahoma" w:hAnsi="Tahoma" w:cs="Tahoma"/>
                <w:color w:val="000000"/>
                <w:sz w:val="20"/>
                <w:szCs w:val="20"/>
              </w:rPr>
              <w:t>or medio de la cual se establecen las casas de refugio en el marco de la ley 1257 de 2008 y se fortalece la política pública en contra de la violencia hacia las mujeres</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2215</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23-06-2022</w:t>
            </w:r>
          </w:p>
        </w:tc>
      </w:tr>
      <w:tr w:rsidR="00D70DFE" w:rsidTr="00327D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BF2A32" w:rsidRDefault="00D70DFE" w:rsidP="00D70DFE">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0DFE" w:rsidRPr="00BF2A32" w:rsidRDefault="00D70DFE" w:rsidP="00D70DFE">
            <w:pPr>
              <w:jc w:val="center"/>
              <w:rPr>
                <w:rFonts w:ascii="Arial" w:hAnsi="Arial" w:cs="Arial"/>
                <w:sz w:val="20"/>
                <w:szCs w:val="20"/>
              </w:rPr>
            </w:pPr>
            <w:r w:rsidRPr="00BF2A32">
              <w:rPr>
                <w:rFonts w:ascii="Arial" w:hAnsi="Arial" w:cs="Arial"/>
                <w:sz w:val="20"/>
                <w:szCs w:val="20"/>
              </w:rPr>
              <w:t>Departamento Administrativo de la Función Pública</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000000" w:firstRow="0" w:lastRow="0" w:firstColumn="0" w:lastColumn="0" w:oddVBand="0" w:evenVBand="0" w:oddHBand="0" w:evenHBand="0" w:firstRowFirstColumn="0" w:firstRowLastColumn="0" w:lastRowFirstColumn="0" w:lastRowLastColumn="0"/>
              <w:rPr>
                <w:rStyle w:val="Textoennegrita"/>
                <w:rFonts w:ascii="Tahoma" w:hAnsi="Tahoma" w:cs="Tahoma"/>
                <w:color w:val="000000"/>
                <w:sz w:val="20"/>
                <w:szCs w:val="20"/>
              </w:rPr>
            </w:pPr>
            <w:r w:rsidRPr="00120CC9">
              <w:rPr>
                <w:rStyle w:val="Textoennegrita"/>
                <w:rFonts w:ascii="Tahoma" w:hAnsi="Tahoma" w:cs="Tahoma"/>
                <w:color w:val="000000"/>
                <w:sz w:val="20"/>
                <w:szCs w:val="20"/>
              </w:rPr>
              <w:t>Referencia inhabilidades e incompatibilidades. servidor público. posibilidad de que un docente, ejerza de forma independiente la profesión de arquitecto.</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Concepto</w:t>
            </w:r>
          </w:p>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192681</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01-06-2022</w:t>
            </w:r>
          </w:p>
        </w:tc>
      </w:tr>
      <w:tr w:rsidR="00D70DFE" w:rsidTr="0032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BF2A32" w:rsidRDefault="00D70DFE" w:rsidP="00D70DFE">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Corte Constitucional</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100000" w:firstRow="0" w:lastRow="0" w:firstColumn="0" w:lastColumn="0" w:oddVBand="0" w:evenVBand="0" w:oddHBand="1" w:evenHBand="0" w:firstRowFirstColumn="0" w:firstRowLastColumn="0" w:lastRowFirstColumn="0" w:lastRowLastColumn="0"/>
              <w:rPr>
                <w:rStyle w:val="Textoennegrita"/>
                <w:rFonts w:ascii="Tahoma" w:hAnsi="Tahoma" w:cs="Tahoma"/>
                <w:color w:val="000000"/>
                <w:sz w:val="20"/>
                <w:szCs w:val="20"/>
              </w:rPr>
            </w:pPr>
            <w:r w:rsidRPr="00120CC9">
              <w:rPr>
                <w:rStyle w:val="Textoennegrita"/>
                <w:rFonts w:ascii="Tahoma" w:hAnsi="Tahoma" w:cs="Tahoma"/>
                <w:color w:val="000000"/>
                <w:sz w:val="20"/>
                <w:szCs w:val="20"/>
              </w:rPr>
              <w:t>Corte protege derechos de mujer trabajadora, a quien se le cancelo su contrato laboral, pese a sufrir síndrome del túnel carpiano</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T-195</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03-06-2022</w:t>
            </w:r>
          </w:p>
        </w:tc>
      </w:tr>
      <w:tr w:rsidR="00D70DFE" w:rsidTr="00327D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BF2A32" w:rsidRDefault="00D70DFE" w:rsidP="00D70DFE">
            <w:pPr>
              <w:jc w:val="center"/>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32">
              <w:rPr>
                <w:rFonts w:ascii="Arial" w:hAnsi="Arial" w:cs="Arial"/>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Corte Constitucional</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000000" w:firstRow="0" w:lastRow="0" w:firstColumn="0" w:lastColumn="0" w:oddVBand="0" w:evenVBand="0" w:oddHBand="0" w:evenHBand="0" w:firstRowFirstColumn="0" w:firstRowLastColumn="0" w:lastRowFirstColumn="0" w:lastRowLastColumn="0"/>
              <w:rPr>
                <w:rStyle w:val="Textoennegrita"/>
                <w:rFonts w:ascii="Tahoma" w:hAnsi="Tahoma" w:cs="Tahoma"/>
                <w:color w:val="000000"/>
                <w:sz w:val="20"/>
                <w:szCs w:val="20"/>
              </w:rPr>
            </w:pPr>
            <w:r w:rsidRPr="00120CC9">
              <w:rPr>
                <w:rStyle w:val="Textoennegrita"/>
                <w:rFonts w:ascii="Tahoma" w:hAnsi="Tahoma" w:cs="Tahoma"/>
                <w:color w:val="000000"/>
                <w:sz w:val="20"/>
                <w:szCs w:val="20"/>
              </w:rPr>
              <w:t>Demanda de inconstitucionalidad contra el inciso 3º del artículo 1º de la ley 2081 de 2021 por la cual se declara imprescriptible la acción penal en caso de delitos contra la libertad, integridad y formación sexuales, o el delito de incesto, cometidos en menores de 18 años no más silencio</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C-205</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09-06-2022</w:t>
            </w:r>
          </w:p>
        </w:tc>
      </w:tr>
      <w:tr w:rsidR="00D70DFE" w:rsidTr="0032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Corte Constitucional</w:t>
            </w: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100000" w:firstRow="0" w:lastRow="0" w:firstColumn="0" w:lastColumn="0" w:oddVBand="0" w:evenVBand="0" w:oddHBand="1" w:evenHBand="0" w:firstRowFirstColumn="0" w:firstRowLastColumn="0" w:lastRowFirstColumn="0" w:lastRowLastColumn="0"/>
              <w:rPr>
                <w:rStyle w:val="Textoennegrita"/>
                <w:rFonts w:ascii="Tahoma" w:hAnsi="Tahoma" w:cs="Tahoma"/>
                <w:color w:val="000000"/>
                <w:sz w:val="20"/>
                <w:szCs w:val="20"/>
              </w:rPr>
            </w:pPr>
            <w:r>
              <w:rPr>
                <w:rStyle w:val="Textoennegrita"/>
                <w:rFonts w:ascii="Tahoma" w:hAnsi="Tahoma" w:cs="Tahoma"/>
                <w:color w:val="000000"/>
                <w:sz w:val="20"/>
                <w:szCs w:val="20"/>
              </w:rPr>
              <w:t>C</w:t>
            </w:r>
            <w:r w:rsidRPr="00120CC9">
              <w:rPr>
                <w:rStyle w:val="Textoennegrita"/>
                <w:rFonts w:ascii="Tahoma" w:hAnsi="Tahoma" w:cs="Tahoma"/>
                <w:color w:val="000000"/>
                <w:sz w:val="20"/>
                <w:szCs w:val="20"/>
              </w:rPr>
              <w:t xml:space="preserve">orte hace fuerte llamado a </w:t>
            </w:r>
            <w:proofErr w:type="spellStart"/>
            <w:r w:rsidRPr="00120CC9">
              <w:rPr>
                <w:rStyle w:val="Textoennegrita"/>
                <w:rFonts w:ascii="Tahoma" w:hAnsi="Tahoma" w:cs="Tahoma"/>
                <w:color w:val="000000"/>
                <w:sz w:val="20"/>
                <w:szCs w:val="20"/>
              </w:rPr>
              <w:t>colpensiones</w:t>
            </w:r>
            <w:proofErr w:type="spellEnd"/>
            <w:r w:rsidRPr="00120CC9">
              <w:rPr>
                <w:rStyle w:val="Textoennegrita"/>
                <w:rFonts w:ascii="Tahoma" w:hAnsi="Tahoma" w:cs="Tahoma"/>
                <w:color w:val="000000"/>
                <w:sz w:val="20"/>
                <w:szCs w:val="20"/>
              </w:rPr>
              <w:t xml:space="preserve"> para que preste protección especial a las personas con enfermedades crónicas, degenerativas o congénitas que solicitan una sustitución pensional</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RADICACIÓN</w:t>
            </w:r>
          </w:p>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T-202</w:t>
            </w: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09-06-2022</w:t>
            </w:r>
          </w:p>
        </w:tc>
      </w:tr>
      <w:tr w:rsidR="00D70DFE" w:rsidTr="00327D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rPr>
                <w:rFonts w:ascii="Arial" w:hAnsi="Arial" w:cs="Arial"/>
                <w:b w:val="0"/>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000000" w:firstRow="0" w:lastRow="0" w:firstColumn="0" w:lastColumn="0" w:oddVBand="0" w:evenVBand="0" w:oddHBand="0" w:evenHBand="0" w:firstRowFirstColumn="0" w:firstRowLastColumn="0" w:lastRowFirstColumn="0" w:lastRowLastColumn="0"/>
              <w:rPr>
                <w:rStyle w:val="Textoennegrita"/>
                <w:rFonts w:ascii="Tahoma" w:hAnsi="Tahoma" w:cs="Tahoma"/>
                <w:color w:val="000000"/>
                <w:sz w:val="20"/>
                <w:szCs w:val="20"/>
              </w:rPr>
            </w:pP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70DFE" w:rsidTr="0032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Pr="00120CC9" w:rsidRDefault="00D70DFE" w:rsidP="00D70DFE">
            <w:pPr>
              <w:jc w:val="both"/>
              <w:cnfStyle w:val="000000100000" w:firstRow="0" w:lastRow="0" w:firstColumn="0" w:lastColumn="0" w:oddVBand="0" w:evenVBand="0" w:oddHBand="1" w:evenHBand="0" w:firstRowFirstColumn="0" w:firstRowLastColumn="0" w:lastRowFirstColumn="0" w:lastRowLastColumn="0"/>
              <w:rPr>
                <w:rStyle w:val="Textoennegrita"/>
                <w:rFonts w:ascii="Tahoma" w:hAnsi="Tahoma" w:cs="Tahoma"/>
                <w:color w:val="000000"/>
                <w:sz w:val="20"/>
                <w:szCs w:val="20"/>
              </w:rPr>
            </w:pPr>
            <w:r w:rsidRPr="00120CC9">
              <w:rPr>
                <w:rStyle w:val="Textoennegrita"/>
                <w:rFonts w:ascii="Tahoma" w:hAnsi="Tahoma" w:cs="Tahoma"/>
                <w:color w:val="000000"/>
                <w:sz w:val="20"/>
                <w:szCs w:val="20"/>
              </w:rPr>
              <w:t>.</w:t>
            </w:r>
          </w:p>
        </w:tc>
        <w:tc>
          <w:tcPr>
            <w:tcW w:w="241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70DFE" w:rsidRDefault="00D70DFE" w:rsidP="00D70DF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24D00" w:rsidRDefault="00924D00" w:rsidP="00924D00"/>
    <w:p w:rsidR="00924D00" w:rsidRDefault="00924D00" w:rsidP="00924D00"/>
    <w:p w:rsidR="00924D00" w:rsidRDefault="00924D00" w:rsidP="00924D00"/>
    <w:p w:rsidR="00924D00" w:rsidRDefault="00924D00" w:rsidP="00924D00"/>
    <w:p w:rsidR="00924D00" w:rsidRDefault="00924D00" w:rsidP="00924D00"/>
    <w:p w:rsidR="00924D00" w:rsidRDefault="00924D00" w:rsidP="00924D00"/>
    <w:p w:rsidR="00924D00" w:rsidRDefault="00924D00" w:rsidP="00924D00"/>
    <w:p w:rsidR="00341509" w:rsidRDefault="00341509"/>
    <w:sectPr w:rsidR="00341509" w:rsidSect="00E4061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00"/>
    <w:rsid w:val="001001DB"/>
    <w:rsid w:val="00120CC9"/>
    <w:rsid w:val="00136BE4"/>
    <w:rsid w:val="00341509"/>
    <w:rsid w:val="00426D82"/>
    <w:rsid w:val="004C20CA"/>
    <w:rsid w:val="005C2E2D"/>
    <w:rsid w:val="00601E81"/>
    <w:rsid w:val="007710BE"/>
    <w:rsid w:val="0084321A"/>
    <w:rsid w:val="00924D00"/>
    <w:rsid w:val="009D136D"/>
    <w:rsid w:val="00BF2A32"/>
    <w:rsid w:val="00D70DFE"/>
    <w:rsid w:val="00D81099"/>
    <w:rsid w:val="00F34366"/>
    <w:rsid w:val="00F61A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4E83"/>
  <w15:chartTrackingRefBased/>
  <w15:docId w15:val="{8D968822-3BA6-4CFD-8A30-55130E8D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00"/>
    <w:pPr>
      <w:spacing w:line="254"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924D00"/>
    <w:pPr>
      <w:spacing w:after="0" w:line="240" w:lineRule="auto"/>
    </w:pPr>
    <w:rPr>
      <w:lang w:val="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xtoennegrita">
    <w:name w:val="Strong"/>
    <w:basedOn w:val="Fuentedeprrafopredeter"/>
    <w:uiPriority w:val="22"/>
    <w:qFormat/>
    <w:rsid w:val="00924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Piedad Vasquez Borrero</dc:creator>
  <cp:keywords/>
  <dc:description/>
  <cp:lastModifiedBy>Maria Piedad Vasquez Borrero</cp:lastModifiedBy>
  <cp:revision>16</cp:revision>
  <dcterms:created xsi:type="dcterms:W3CDTF">2022-09-06T23:02:00Z</dcterms:created>
  <dcterms:modified xsi:type="dcterms:W3CDTF">2022-09-07T19:39:00Z</dcterms:modified>
</cp:coreProperties>
</file>